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157" w:afterLines="50"/>
        <w:textAlignment w:val="auto"/>
        <w:rPr>
          <w:rFonts w:hint="default"/>
          <w:color w:val="000000" w:themeColor="text1"/>
          <w14:textFill>
            <w14:solidFill>
              <w14:schemeClr w14:val="tx1"/>
            </w14:solidFill>
          </w14:textFill>
        </w:rPr>
      </w:pPr>
      <w:bookmarkStart w:id="0" w:name="_Toc689"/>
      <w:r>
        <w:rPr>
          <w:rFonts w:hint="default"/>
          <w:color w:val="000000" w:themeColor="text1"/>
          <w14:textFill>
            <w14:solidFill>
              <w14:schemeClr w14:val="tx1"/>
            </w14:solidFill>
          </w14:textFill>
        </w:rPr>
        <w:t>法学</w:t>
      </w:r>
      <w:bookmarkEnd w:id="0"/>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b/>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专业名称：法学</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学科类型：法学</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计划学制：2.5年</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授予学位：法学学士</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办学形式：网络教育、函授教育</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学习方式：网络课程+集中面授</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ab/>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最低毕业学分规定</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1621"/>
        <w:gridCol w:w="1621"/>
        <w:gridCol w:w="1621"/>
        <w:gridCol w:w="1621"/>
      </w:tblGrid>
      <w:tr>
        <w:trPr>
          <w:trHeight w:val="1134" w:hRule="atLeast"/>
          <w:jc w:val="center"/>
        </w:trPr>
        <w:tc>
          <w:tcPr>
            <w:tcW w:w="2587" w:type="dxa"/>
            <w:tcBorders>
              <w:tl2br w:val="nil"/>
              <w:tr2bl w:val="nil"/>
            </w:tcBorders>
            <w:vAlign w:val="top"/>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mc:AlternateContent>
                <mc:Choice Requires="wpsCustomData">
                  <wpsCustomData:diagonalParaType/>
                </mc:Choice>
              </mc:AlternateContent>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课程性质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课程分类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公共课程</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专业课程</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实践性环节</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必修课</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18</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37</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7</w:t>
            </w: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选修课</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12</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17</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一、培养目标和毕业要求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（一）培养目标</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培养目标1</w:t>
      </w:r>
      <w:r>
        <w:rPr>
          <w:rStyle w:val="8"/>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培养学生正确的价值观，遵纪守法的理念，诚信友善、爱岗敬业的品质。</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培养目标2：培养学生自主学习、协同学习能力，提升创新意识和创新能力。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培养目标3：培养学生从事国家机关、企事业单位法务工作能力。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培养目标4：培养学生学以致用，活学活用，应用专业知识解决实际问题的能力。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培养目标5：培养学生的劳模精神和大国工匠精神。</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（二）毕业基本要求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 政治理论水平得到提高，法治观念得到加强。</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基本要求2: 具有良好的思想品德、社会公德和职业道德。</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基本要求3: 掌握与法学专业相关的的通识课程知识和基础知识。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基本要求4: 掌握与法学专业相关的其他学科以及行业基础知识。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基本要求5: 法学理论知识得到加强，法律知识应用得到系统化训练。</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基本要求6: 掌握法律思维与思考方法，熟悉我国法律和相关政策。</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基本要求7: 了解世贸组织法和国际法基本知识。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基本要求8: 掌握一定的金融、保险基本理论和知识。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基本要求9：英语阅读、写作和交流能力有所提高。</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基本要求10: 具有较好的组织协调能力和较强的管理应变能力。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基本要求11: 掌握文献检索基本方法，具有独立获取信息和终身学习的能力。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附表（一）培养目标实现矩阵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384"/>
        <w:gridCol w:w="1383"/>
        <w:gridCol w:w="1384"/>
        <w:gridCol w:w="1538"/>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培养目标1</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培养目标3</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培养目标4</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基本要求3</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基本要求4</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基本要求5</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基本要求6</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基本要求7</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基本要求8</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基本要求9</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基本要求10</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基本要求11</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二、专业必修课程和申请学位课程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w:t>
      </w:r>
      <w:r>
        <w:rPr>
          <w:rFonts w:hint="default" w:ascii="Times New Roman" w:hAnsi="Times New Roman" w:eastAsia="宋体" w:cs="Times New Roman"/>
          <w:b/>
          <w:bCs/>
          <w:color w:val="000000" w:themeColor="text1"/>
          <w:sz w:val="21"/>
          <w:szCs w:val="21"/>
          <w14:textFill>
            <w14:solidFill>
              <w14:schemeClr w14:val="tx1"/>
            </w14:solidFill>
          </w14:textFill>
        </w:rPr>
        <w:t xml:space="preserve"> 专业必修课程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Style w:val="8"/>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专业必修课程名称</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《法理学》、《宪法学》、《行政法》、《民法学》、《刑法学》、《经济法学》、《商法学》、《民事诉讼法学》、《刑事诉讼法学》、《国际私法》、《劳动与社会保障法》、《国际经济法》</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Style w:val="8"/>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课程内容简介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法理学》是法学的分支学科，是国家教育部确定的全国高等学校法学专业14门核心课程之一。作为社会科学的一个门类，法学以法律现象为研究对象法律发展到定阶段，出现了因调整对象不同而形成的不同的法学学科。本课程是关于法学的一般理论与方法论，是学习其它专业课的前提与基础，是法学专业学生学习法学的入门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2）《宪法学》是法学的分支学科，是国家教育部确定的全国高等学校法学专业14门核心课程之一。本课程以宪法学基本理论为基础，主要介绍宪法学基本原理、宪法权利与国家权力组织，重点把握了宪法学的研究对象——国家权利与公民权利的关系这一主题。 </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行政法》是法学的分支学科，是国家教育部确定的全国高等学校法学专业14门核心课程之一。行政法学是以行政法现象为研究对象的分支学科，同时行政法又以行政为研究对象，因而行政法学与行政学关系极为密切。在法学领域内，行政法学同宪法学之间的关系最为紧密，宪法学为行政法学提供理论和法律依据，行政法学为宪法学提供实证基础。</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民法学》是法律科学体系与生活联系最紧密的法律之一。通过介绍民法学基本原理，阐述民事法学制度基本内容，旨在培养学生运用民法独立分析和解决现实社会生活中民事法律问题的能力。整个课程分为总论和分论两个部分，总论部分讲授民法与理论的普遍性、规律性原理；分论部分讲授物权、债权、人身权和民事责任制度的基本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刑法学》课程以刑法及其所规定的犯罪、刑事责任和刑罚为研究对象的一门专门学科。通过对刑法理论及其实际应用的学习和研究，使学生系统掌握我国刑法及其所规定的犯罪、刑事责任和刑罚的各种原理、原则和制度，培养学生运用刑法理论并根据刑法规定分析和解决实际刑事案件中的问题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经济法学》以经济法的基本原理和法律制度为研究对象，兼具理论性和应用性的一门专业课程。设置本课程的目的在于使学生熟悉经济法学基本原理和相关法律制度，了解国内外经济法的立法、执法和司法状况，运用经济法知识分析和解决我国市场经济发展中的具体问题。</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商法学》：市场经济是由“市场”这个“无形之手”去对资源的配置起基础性作用的经济形式。一切经济活动（含生产、交换、分配和消费四环节），均以交换活动（以盈利为目的商活动）为核心，商法就是调整与规制这一活动的最基本规则。商法学的核心是研究各类商主体如何从事商行为的法律，是现代市场经济法律的最核心的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（8）《民事诉讼法学》是研究民事诉讼程序运行理论和实践经验的学科，包括民事诉讼法基本原则和基本审判制度 、受案范围和管辖、民事诉讼当事人 、民事诉讼证据和证明、第一审普通程序、第二审程序、诉讼和解与调解、再审程序等。通过学习，学会运用民事诉讼法的知识处理和解决民事纠纷，成为具有民事诉讼技能的现代化法律职业人才。</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刑事诉讼法学》：是法学本科学生的必修课程。本课程以理论与案例相结合的教学方法，使学生比较全面系统地掌握刑事诉讼法学的基本概念、基本理论和各项诉讼程序所包含的具体内容，熟悉刑事诉讼法律条文，培养和提高分析、解决刑事诉讼问题的能力，以适应刑事司法实际工作和有关理论研究的需要。</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国际私法》是法学核心课程之一，是专业必修课，也是培养涉外法律人才、提升学生的涉外法治和国际法治意识的主干课程之一。通过国际私法课程教学，让学生学会运用国际私法的原理和基础理论分析实际中的问题，将理论真正应用于实践。</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劳动与社会保障法》是高等院校法学专业高年级的专业必修课程，着重于阐述劳动与社会保障法的基本理论和基本知识，课程注重与实践的结合，通过本课程学习，使学生了解我国现行劳动与社会保障法律、法规规定，并能以相关法律法规分析典型案例，提高学生的知识面和综合分析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国际经济法》是法学核心课程之一，是专业必修课，也是培养涉外法律人才、提升学生的涉外法治和国际法治意识的主干课程之一。本课程系统讲解了国际经济法的基本原理、基本制度和核心问题。通过学习本课程，要求学生能够运用国际经济法的基本原理分析和解决国际经济活动中的具体案件。</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《宪法学》、《民法学》、《刑法学》、《国际经济法》</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附表（二）毕业基本要求实现矩阵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455"/>
        <w:gridCol w:w="445"/>
        <w:gridCol w:w="445"/>
        <w:gridCol w:w="445"/>
        <w:gridCol w:w="445"/>
        <w:gridCol w:w="445"/>
        <w:gridCol w:w="446"/>
        <w:gridCol w:w="445"/>
        <w:gridCol w:w="445"/>
        <w:gridCol w:w="445"/>
        <w:gridCol w:w="445"/>
        <w:gridCol w:w="446"/>
      </w:tblGrid>
      <w:tr>
        <w:trPr>
          <w:trHeight w:val="334" w:hRule="atLeast"/>
          <w:tblHeader/>
          <w:jc w:val="center"/>
        </w:trPr>
        <w:tc>
          <w:tcPr>
            <w:tcW w:w="71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课程类型</w:t>
            </w:r>
          </w:p>
        </w:tc>
        <w:tc>
          <w:tcPr>
            <w:tcW w:w="345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  程  名  称</w:t>
            </w:r>
          </w:p>
        </w:tc>
        <w:tc>
          <w:tcPr>
            <w:tcW w:w="4897" w:type="dxa"/>
            <w:gridSpan w:val="11"/>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毕 业 基 本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tblHeader/>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2</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3</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4</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5</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6</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7</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8</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9</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10</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公共必修课</w:t>
            </w: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中国近现代史纲要</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网络教育学习导论</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专业必修课</w:t>
            </w: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法理学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宪法学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行政法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民法学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刑法学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经济法学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商法学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民事诉讼法学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刑事诉讼法学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国际私法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劳动与社会保障法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国际经济法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专业选修课</w:t>
            </w: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消费者权益保护法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行政诉讼法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世贸组织法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证券法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法律逻辑学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交通法</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其它选修课</w:t>
            </w: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犯罪</w:t>
            </w:r>
            <w:r>
              <w:rPr>
                <w:rFonts w:hint="default" w:ascii="Times New Roman" w:hAnsi="Times New Roman" w:eastAsia="宋体" w:cs="Times New Roman"/>
                <w:color w:val="000000" w:themeColor="text1"/>
                <w:kern w:val="0"/>
                <w:sz w:val="21"/>
                <w:szCs w:val="21"/>
                <w14:textFill>
                  <w14:solidFill>
                    <w14:schemeClr w14:val="tx1"/>
                  </w14:solidFill>
                </w14:textFill>
              </w:rPr>
              <w:t>心理学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商务谈判学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创新与创业管理</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企业管理概论</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信息检索</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中国文化概论</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实践性环节</w:t>
            </w: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模拟法庭</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法律咨询</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专业见习</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行业法务调研</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毕业实习</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7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4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毕业论文</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三、教学进程安排表</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5"/>
        <w:gridCol w:w="438"/>
        <w:gridCol w:w="2378"/>
        <w:gridCol w:w="451"/>
        <w:gridCol w:w="742"/>
        <w:gridCol w:w="712"/>
        <w:gridCol w:w="575"/>
        <w:gridCol w:w="575"/>
        <w:gridCol w:w="575"/>
        <w:gridCol w:w="575"/>
        <w:gridCol w:w="575"/>
        <w:gridCol w:w="1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78" w:hRule="atLeast"/>
          <w:tblHeader/>
          <w:jc w:val="center"/>
        </w:trPr>
        <w:tc>
          <w:tcPr>
            <w:tcW w:w="853"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37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 程 名 称</w:t>
            </w:r>
          </w:p>
        </w:tc>
        <w:tc>
          <w:tcPr>
            <w:tcW w:w="45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  分</w:t>
            </w:r>
          </w:p>
        </w:tc>
        <w:tc>
          <w:tcPr>
            <w:tcW w:w="74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时</w:t>
            </w:r>
          </w:p>
        </w:tc>
        <w:tc>
          <w:tcPr>
            <w:tcW w:w="71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考核</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方式</w:t>
            </w:r>
          </w:p>
        </w:tc>
        <w:tc>
          <w:tcPr>
            <w:tcW w:w="2875"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学期分配</w:t>
            </w:r>
          </w:p>
        </w:tc>
        <w:tc>
          <w:tcPr>
            <w:tcW w:w="106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 注</w:t>
            </w:r>
          </w:p>
        </w:tc>
      </w:tr>
      <w:tr>
        <w:trPr>
          <w:cantSplit/>
          <w:trHeight w:val="278" w:hRule="atLeast"/>
          <w:tblHeader/>
          <w:jc w:val="center"/>
        </w:trPr>
        <w:tc>
          <w:tcPr>
            <w:tcW w:w="853"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5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4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w:t>
            </w:r>
          </w:p>
        </w:tc>
        <w:tc>
          <w:tcPr>
            <w:tcW w:w="10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r>
      <w:tr>
        <w:trPr>
          <w:cantSplit/>
          <w:trHeight w:val="278" w:hRule="atLeast"/>
          <w:jc w:val="center"/>
        </w:trPr>
        <w:tc>
          <w:tcPr>
            <w:tcW w:w="4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必</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程</w:t>
            </w:r>
          </w:p>
        </w:tc>
        <w:tc>
          <w:tcPr>
            <w:tcW w:w="43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公</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共</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中国近现代史纲要</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形势与政策</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每学期修读0.5学分</w:t>
            </w: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网络教育学习导论</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大学英语2</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大学英语3</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计算机应用基础</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法理学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宪法学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行政法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民法学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刑法学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经济法学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商法学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民事诉讼法学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刑事诉讼法学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国际私法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劳动与社会保障法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国际经济法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选</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程</w:t>
            </w:r>
          </w:p>
        </w:tc>
        <w:tc>
          <w:tcPr>
            <w:tcW w:w="43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选</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消费者权益保护法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至少修读12学分</w:t>
            </w: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行政诉讼法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世贸组织法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证券法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法律逻辑学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交通法</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48</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其</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它</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选</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法律心理学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至少修读5学分(计划学期中选修至少1门课)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商务谈判学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创新与创业管理</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企业管理概论</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信息检索</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中国文化概论</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实践性环节</w:t>
            </w:r>
          </w:p>
        </w:tc>
        <w:tc>
          <w:tcPr>
            <w:tcW w:w="4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模拟法庭</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2</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法律咨询</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3</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专业见习</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4</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行业法务调研</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5</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6</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毕业实习</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7</w:t>
            </w:r>
          </w:p>
        </w:tc>
        <w:tc>
          <w:tcPr>
            <w:tcW w:w="23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毕业论文</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8周</w:t>
            </w: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78" w:hRule="atLeast"/>
          <w:jc w:val="center"/>
        </w:trPr>
        <w:tc>
          <w:tcPr>
            <w:tcW w:w="3231"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    计</w:t>
            </w:r>
          </w:p>
        </w:tc>
        <w:tc>
          <w:tcPr>
            <w:tcW w:w="45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13.5</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23</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24.5</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5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w:t>
            </w:r>
          </w:p>
        </w:tc>
        <w:tc>
          <w:tcPr>
            <w:tcW w:w="10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pPr>
        <w:pageBreakBefore w:val="0"/>
        <w:numPr>
          <w:ilvl w:val="0"/>
          <w:numId w:val="1"/>
        </w:numPr>
        <w:kinsoku/>
        <w:wordWrap/>
        <w:overflowPunct/>
        <w:topLinePunct w:val="0"/>
        <w:autoSpaceDE/>
        <w:autoSpaceDN/>
        <w:bidi w:val="0"/>
        <w:adjustRightInd/>
        <w:snapToGrid/>
        <w:spacing w:before="160" w:beforeAutospacing="0" w:after="160" w:afterAutospacing="0" w:line="240" w:lineRule="auto"/>
        <w:ind w:left="0" w:leftChars="0" w:right="0" w:rightChars="0" w:firstLine="480" w:firstLineChars="200"/>
        <w:jc w:val="both"/>
        <w:rPr>
          <w:rFonts w:hint="eastAsia" w:eastAsia="黑体"/>
          <w:b w:val="0"/>
          <w:i w:val="0"/>
          <w:color w:val="000000" w:themeColor="text1"/>
          <w:sz w:val="24"/>
          <w:lang w:eastAsia="zh-CN"/>
          <w14:textFill>
            <w14:solidFill>
              <w14:schemeClr w14:val="tx1"/>
            </w14:solidFill>
          </w14:textFill>
        </w:rPr>
      </w:pPr>
      <w:r>
        <w:rPr>
          <w:rFonts w:hint="eastAsia" w:eastAsia="黑体"/>
          <w:b w:val="0"/>
          <w:i w:val="0"/>
          <w:color w:val="000000" w:themeColor="text1"/>
          <w:sz w:val="24"/>
          <w:lang w:eastAsia="zh-CN"/>
          <w14:textFill>
            <w14:solidFill>
              <w14:schemeClr w14:val="tx1"/>
            </w14:solidFill>
          </w14:textFill>
        </w:rPr>
        <w:t>修读说明</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（1）最低毕业总学分：9</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学分。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课程考核由学习过程评价与期末考试组成，课程总评成绩=平时成绩☓40%+期末考试成绩☓60%。考核方式为“考试”的课程，期末考试一般以闭卷形式为主；考核方式为“考试*”的课程，期末考试一般以开卷形式为主；考核方式为“考查”课程，一般以实验报告、实习报告、课程设计、小论文、大作业、毕业设计等形式完成。</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（3）集中面授学时占该课程总学时的10%-15%。</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（4）网络教育学生除完成学校规定的最低毕业学分以外，还须参加网络教育部分公共基础课程全国统一考试(大学英语、计算机应用基础等课程),成绩合格，方能毕业。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宋体-简"/>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方正小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604B1"/>
    <w:multiLevelType w:val="singleLevel"/>
    <w:tmpl w:val="BD9604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788E5"/>
    <w:rsid w:val="75F78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方正小标宋_GBK"/>
      <w:sz w:val="36"/>
    </w:rPr>
  </w:style>
  <w:style w:type="paragraph" w:styleId="3">
    <w:name w:val="heading 3"/>
    <w:basedOn w:val="1"/>
    <w:next w:val="1"/>
    <w:unhideWhenUsed/>
    <w:qFormat/>
    <w:uiPriority w:val="9"/>
    <w:pPr>
      <w:keepNext/>
      <w:keepLines/>
      <w:spacing w:before="160" w:beforeLines="0" w:beforeAutospacing="0" w:after="160" w:afterLines="0" w:afterAutospacing="0" w:line="240" w:lineRule="auto"/>
      <w:ind w:firstLine="1040" w:firstLineChars="200"/>
      <w:outlineLvl w:val="2"/>
    </w:pPr>
    <w:rPr>
      <w:rFonts w:eastAsia="黑体"/>
      <w:sz w:val="24"/>
    </w:rPr>
  </w:style>
  <w:style w:type="paragraph" w:styleId="4">
    <w:name w:val="heading 4"/>
    <w:basedOn w:val="1"/>
    <w:next w:val="1"/>
    <w:unhideWhenUsed/>
    <w:qFormat/>
    <w:uiPriority w:val="9"/>
    <w:pPr>
      <w:keepNext/>
      <w:keepLines/>
      <w:spacing w:before="160" w:beforeLines="0" w:beforeAutospacing="0" w:after="160" w:afterLines="0" w:afterAutospacing="0" w:line="240" w:lineRule="auto"/>
      <w:ind w:firstLine="1040" w:firstLineChars="200"/>
      <w:jc w:val="left"/>
      <w:outlineLvl w:val="3"/>
    </w:pPr>
    <w:rPr>
      <w:rFonts w:ascii="Arial" w:hAnsi="Arial" w:eastAsia="黑体"/>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15"/>
    <w:basedOn w:val="7"/>
    <w:qFormat/>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2022-01-18T17:56:00Z</dcterms:created>
  <dc:creator>彩虹过后</dc:creator>
  <cp:lastModifiedBy>彩虹过后</cp:lastModifiedBy>
  <dcterms:modified xsi:type="dcterms:W3CDTF">2022-01-18T17:56:20Z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