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after="157" w:afterLines="50"/>
        <w:textAlignment w:val="auto"/>
        <w:rPr>
          <w:rFonts w:hint="default"/>
          <w:color w:val="000000" w:themeColor="text1"/>
          <w14:textFill>
            <w14:solidFill>
              <w14:schemeClr w14:val="tx1"/>
            </w14:solidFill>
          </w14:textFill>
        </w:rPr>
      </w:pPr>
      <w:bookmarkStart w:id="0" w:name="_Toc725"/>
      <w:r>
        <w:rPr>
          <w:rFonts w:hint="default"/>
          <w:color w:val="000000" w:themeColor="text1"/>
          <w14:textFill>
            <w14:solidFill>
              <w14:schemeClr w14:val="tx1"/>
            </w14:solidFill>
          </w14:textFill>
        </w:rPr>
        <w:t>会计学</w:t>
      </w:r>
      <w:bookmarkEnd w:id="0"/>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b/>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专业名称：工商管理</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学科类型：管理学</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计划学制：2.5年</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授予学位：管理学学士</w:t>
      </w:r>
    </w:p>
    <w:p>
      <w:pPr>
        <w:pageBreakBefore w:val="0"/>
        <w:tabs>
          <w:tab w:val="left" w:pos="709"/>
          <w:tab w:val="left" w:pos="5245"/>
        </w:tabs>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办学形式：网络教育、函授教育</w:t>
      </w:r>
      <w:r>
        <w:rPr>
          <w:rFonts w:hint="default" w:ascii="Times New Roman" w:hAnsi="Times New Roman" w:eastAsia="宋体" w:cs="Times New Roman"/>
          <w:color w:val="000000" w:themeColor="text1"/>
          <w:sz w:val="21"/>
          <w:szCs w:val="21"/>
          <w14:textFill>
            <w14:solidFill>
              <w14:schemeClr w14:val="tx1"/>
            </w14:solidFill>
          </w14:textFill>
        </w:rPr>
        <w:tab/>
      </w:r>
      <w:r>
        <w:rPr>
          <w:rFonts w:hint="default" w:ascii="Times New Roman" w:hAnsi="Times New Roman" w:eastAsia="宋体" w:cs="Times New Roman"/>
          <w:color w:val="000000" w:themeColor="text1"/>
          <w:sz w:val="21"/>
          <w:szCs w:val="21"/>
          <w14:textFill>
            <w14:solidFill>
              <w14:schemeClr w14:val="tx1"/>
            </w14:solidFill>
          </w14:textFill>
        </w:rPr>
        <w:t>学习方式：网络课程+集中面授</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ab/>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最低毕业学分规定</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1632"/>
        <w:gridCol w:w="1632"/>
        <w:gridCol w:w="1632"/>
        <w:gridCol w:w="1632"/>
      </w:tblGrid>
      <w:tr>
        <w:trPr>
          <w:trHeight w:val="1134" w:hRule="atLeast"/>
          <w:jc w:val="center"/>
        </w:trPr>
        <w:tc>
          <w:tcPr>
            <w:tcW w:w="2543" w:type="dxa"/>
            <w:tcBorders>
              <w:tl2br w:val="nil"/>
              <w:tr2bl w:val="nil"/>
            </w:tcBorders>
            <w:vAlign w:val="top"/>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left"/>
              <w:textAlignment w:val="auto"/>
              <mc:AlternateContent>
                <mc:Choice Requires="wpsCustomData">
                  <wpsCustomData:diagonalParaType/>
                </mc:Choice>
              </mc:AlternateContent>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课程性质</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课程分类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公共课程</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专业课程</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实践性环节</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14:textFill>
                  <w14:solidFill>
                    <w14:schemeClr w14:val="tx1"/>
                  </w14:solidFill>
                </w14:textFill>
              </w:rPr>
            </w:pPr>
            <w:r>
              <w:rPr>
                <w:rFonts w:hint="default" w:ascii="Times New Roman" w:hAnsi="Times New Roman" w:eastAsia="宋体" w:cs="Times New Roman"/>
                <w:b/>
                <w:bCs w:val="0"/>
                <w:color w:val="000000" w:themeColor="text1"/>
                <w:sz w:val="21"/>
                <w:szCs w:val="21"/>
                <w14:textFill>
                  <w14:solidFill>
                    <w14:schemeClr w14:val="tx1"/>
                  </w14:solidFill>
                </w14:textFill>
              </w:rPr>
              <w:t>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必修课</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44</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8</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r>
              <w:rPr>
                <w:rFonts w:hint="eastAsia" w:ascii="Times New Roman" w:hAnsi="Times New Roman" w:cs="Times New Roman"/>
                <w:color w:val="000000" w:themeColor="text1"/>
                <w:sz w:val="21"/>
                <w:szCs w:val="21"/>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5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选修课</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63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一、培养目标与毕业要求</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（一）培养目标</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培养目标1：</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具有自主学习和创造性思维；具备良好思想道德素质、科学文化素质、专业业务素质以及实践能力；成为匹配社会用人需求的高素质人才。</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培养目标2：</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具有从事会计领域工作所需的外语、数学和计算机等基础理论知识，以及学以致用的能力。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培养目标3：</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具有良好的口头和书面表达、交流沟通能力和情商管理能力，具有良好的团队意识、合作精神和组织协调能力。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培养目标4：</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系统掌握会计、财务管理和审计专业理论方法，并具备一定的</w:t>
      </w:r>
      <w:r>
        <w:rPr>
          <w:rFonts w:hint="default" w:ascii="Times New Roman" w:hAnsi="Times New Roman" w:eastAsia="宋体" w:cs="Times New Roman"/>
          <w:color w:val="000000" w:themeColor="text1"/>
          <w:sz w:val="21"/>
          <w:szCs w:val="21"/>
          <w14:textFill>
            <w14:solidFill>
              <w14:schemeClr w14:val="tx1"/>
            </w14:solidFill>
          </w14:textFill>
        </w:rPr>
        <w:t>应用专业知识解决实际问题的能力。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培养目标5：</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具有创新创业意识和实践能力，</w:t>
      </w:r>
      <w:r>
        <w:rPr>
          <w:rFonts w:hint="default" w:ascii="Times New Roman" w:hAnsi="Times New Roman" w:eastAsia="宋体" w:cs="Times New Roman"/>
          <w:color w:val="000000" w:themeColor="text1"/>
          <w:sz w:val="21"/>
          <w:szCs w:val="21"/>
          <w14:textFill>
            <w14:solidFill>
              <w14:schemeClr w14:val="tx1"/>
            </w14:solidFill>
          </w14:textFill>
        </w:rPr>
        <w:t>具备良好的敬业精神、社会责任感和会计职业道德</w:t>
      </w:r>
      <w:r>
        <w:rPr>
          <w:rFonts w:hint="default" w:ascii="Times New Roman" w:hAnsi="Times New Roman" w:eastAsia="宋体" w:cs="Times New Roman"/>
          <w:color w:val="000000" w:themeColor="text1"/>
          <w:kern w:val="0"/>
          <w:sz w:val="21"/>
          <w:szCs w:val="21"/>
          <w14:textFill>
            <w14:solidFill>
              <w14:schemeClr w14:val="tx1"/>
            </w14:solidFill>
          </w14:textFill>
        </w:rPr>
        <w:t>。</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（二）毕业基本要求</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应具备</w:t>
      </w:r>
      <w:r>
        <w:rPr>
          <w:rFonts w:hint="default" w:ascii="Times New Roman" w:hAnsi="Times New Roman" w:eastAsia="宋体" w:cs="Times New Roman"/>
          <w:color w:val="000000" w:themeColor="text1"/>
          <w:sz w:val="21"/>
          <w:szCs w:val="21"/>
          <w14:textFill>
            <w14:solidFill>
              <w14:schemeClr w14:val="tx1"/>
            </w14:solidFill>
          </w14:textFill>
        </w:rPr>
        <w:t>良好的思想品德、职业道德</w:t>
      </w:r>
      <w:r>
        <w:rPr>
          <w:rFonts w:hint="default" w:ascii="Times New Roman" w:hAnsi="Times New Roman" w:eastAsia="宋体" w:cs="Times New Roman"/>
          <w:color w:val="000000" w:themeColor="text1"/>
          <w:kern w:val="0"/>
          <w:sz w:val="21"/>
          <w:szCs w:val="21"/>
          <w14:textFill>
            <w14:solidFill>
              <w14:schemeClr w14:val="tx1"/>
            </w14:solidFill>
          </w14:textFill>
        </w:rPr>
        <w:t>以及诚信意识。</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基本要求2：</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 xml:space="preserve">具备良好的人文社科知识以及分析问题解决问题的实践能力。 </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基本要求3：</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具备求真务实的科学思维方法以及自然科学知识。</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基本要求4：</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具备外语、计算机及信息技术应用的基本能力。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基本要求5：</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具有较强的语言与文字表达能力以及文献检索、查询的基本能力，掌握一定的科技写作基础能力。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基本要求6：</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具备管理沟通能力，和良好的团队意识与合作精神以及组织协调能力。</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基本要求7：</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具备健康的心理素质和优秀的情商。</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基本要求8：</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熟悉会计审计领域的技术标准，了解相关政策、法律和法规，掌握会计准则等相关法规；</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基本要求9：</w:t>
      </w:r>
      <w:r>
        <w:rPr>
          <w:rFonts w:hint="default" w:ascii="Times New Roman" w:hAnsi="Times New Roman" w:eastAsia="宋体" w:cs="Times New Roman"/>
          <w:color w:val="000000" w:themeColor="text1"/>
          <w:kern w:val="0"/>
          <w:sz w:val="21"/>
          <w:szCs w:val="21"/>
          <w14:textFill>
            <w14:solidFill>
              <w14:schemeClr w14:val="tx1"/>
            </w14:solidFill>
          </w14:textFill>
        </w:rPr>
        <w:tab/>
      </w:r>
      <w:r>
        <w:rPr>
          <w:rFonts w:hint="default" w:ascii="Times New Roman" w:hAnsi="Times New Roman" w:eastAsia="宋体" w:cs="Times New Roman"/>
          <w:color w:val="000000" w:themeColor="text1"/>
          <w:kern w:val="0"/>
          <w:sz w:val="21"/>
          <w:szCs w:val="21"/>
          <w14:textFill>
            <w14:solidFill>
              <w14:schemeClr w14:val="tx1"/>
            </w14:solidFill>
          </w14:textFill>
        </w:rPr>
        <w:t>掌握中级财务会计、高级财务会计、成本会计、管理会计、审计学、财务管理等与会计学相关专业知识，能够利用原理性知识进行分析和解决企业实际会计问题，具备创新意识。</w:t>
      </w:r>
    </w:p>
    <w:p>
      <w:pPr>
        <w:pageBreakBefore w:val="0"/>
        <w:widowControl/>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基本要求10： 熟练运用计算机会计及其他管理相关软件进行会计核算与审计的应用，掌握常用会计软件的种类、性能，以及现有软件的改进方法。</w:t>
      </w:r>
    </w:p>
    <w:p>
      <w:pPr>
        <w:pageBreakBefore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基本要求11： 掌握文献检索资料查询的基本方法，具有独立获取信息和终身学习的能力。</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附表（一）培养目标实现矩阵</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1"/>
        <w:gridCol w:w="1512"/>
        <w:gridCol w:w="1512"/>
        <w:gridCol w:w="1512"/>
        <w:gridCol w:w="1513"/>
      </w:tblGrid>
      <w:tr>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培养目标1</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培养目标2</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培养目标3</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培养目标4</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培养目标5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毕业要求1</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毕业要求2</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毕业要求3</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毕业要求4</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毕业要求5</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毕业要求6</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毕业要求7</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毕业要求8</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毕业要求9</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毕业要求10</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毕业要求11</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58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15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二、专业必修课程和学位课程</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w:t>
      </w:r>
      <w:r>
        <w:rPr>
          <w:rFonts w:hint="default" w:ascii="Times New Roman" w:hAnsi="Times New Roman" w:eastAsia="宋体" w:cs="Times New Roman"/>
          <w:b/>
          <w:bCs/>
          <w:color w:val="000000" w:themeColor="text1"/>
          <w:sz w:val="21"/>
          <w:szCs w:val="21"/>
          <w14:textFill>
            <w14:solidFill>
              <w14:schemeClr w14:val="tx1"/>
            </w14:solidFill>
          </w14:textFill>
        </w:rPr>
        <w:t xml:space="preserve"> 专业必修课程</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专业必修课程名称</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级财务会计》、《税法》、《管理信息系统》、《高级财务会计》、《国际会计》、《财务管理学》、《成本会计》、《审计学》、《计算机会计》、《会计制度设计》、《会计报表分析》、《金融企业会计》。</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b/>
          <w:bCs/>
          <w:color w:val="000000" w:themeColor="text1"/>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课程内容简介</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（1）《中级财务会计》课程主要内容： 中级财务会计的基本概念及基本理论，货币资金、应收票据、应收及预付款的核算，存货取得和发出的计价及核算、存货的期末计价，金融资产，长期投资的核算及投资的期末计价，固定资产取得、折旧、后续支出、处置的核算及期末计价，无形资产的核算及期末计价，商誉的核算与期末计价，其他资产的核算，流动负债及长期负债的核算，所有者权益的核算，收入、费用、利润及利润分配、所得税费用的核算，会计调整的处理，会计报表编制。</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（2）《税法》课程主要内容： 税法与税制相关的基本原理；现行各税种的纳税义务人、征税对象、税率、计税依据、纳税环节、纳税地点和税收优惠等相关规定；不同企业从事各种生产经营活动所涉及的税种及应纳税额计算；个人取得各种收入涉及的税种、应纳税额计算及相关纳税事项的规定；同一经营活动涉及多税种的相互关系和应纳税额的计算方法。</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（3）《管理信息系统》课程主要内容：</w:t>
      </w:r>
      <w:r>
        <w:rPr>
          <w:rFonts w:hint="default" w:ascii="Times New Roman" w:hAnsi="Times New Roman" w:eastAsia="宋体" w:cs="Times New Roman"/>
          <w:color w:val="000000" w:themeColor="text1"/>
          <w:sz w:val="21"/>
          <w:szCs w:val="21"/>
          <w14:textFill>
            <w14:solidFill>
              <w14:schemeClr w14:val="tx1"/>
            </w14:solidFill>
          </w14:textFill>
        </w:rPr>
        <w:t>介绍管理信息系统概念、结构、基本技术；了解管理信息系统规划、分析、设计、实施及评价方法；讲授管理信息系统在不同应用领域的模型和实例。培养学生综合运用对管理信息进行处理和开发管理信息系统的能力</w:t>
      </w:r>
      <w:r>
        <w:rPr>
          <w:rFonts w:hint="default" w:ascii="Times New Roman" w:hAnsi="Times New Roman" w:eastAsia="宋体" w:cs="Times New Roman"/>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（4）《高级财务会计》课程主要内容： 所得税会计、租赁会计、养老金会计、破产清算会计、物价变动会计、外币业务会计、基础金融工具会计、衍生金融工具会计、企业合并会计、合并会计报表等方面的基本概念、基本理论和会计处理方法，为进一步学习会计知识，掌握会计实务，参加国家举行的相关会计考试奠定必要的基础。</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（5）《国际会计》课程主要内容： 各主要国家会计理论和会计实务的基本特征和最新发展；外币会计、物价变动会计、合并会计报表的基本原理、基本方法和国际会计惯例的结合；国际转移定价、国际税务筹划、外汇风险管理等内容。　</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（6）《财务管理》课程主要内容：财务管理的基本理论、原则和分析方法，能够将所学内容与企业的财务管理实践相结合，能够理解和掌握解决企业财务管理实际问题的方法和途径。</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（7）《成本会计》课程主要内容：成本会计的基本理论，生产费用要素的归集与分配方法，产品成本各种计算方法，成本报表的编制和成本分析等内容。</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审计学》主要内容：审计基本理论，包括审计的产生与发展、审计概念、审计主体与审计规范，审计分类与审计方法、计划审计工作（审计目标、审计证据、审计工作底稿、审计重要性、审计风险、内部控制）等；审计实务，包括收入与收款业务循环审计、购货业务循环审计等；审计报告，包括完成审计工作、编写审计报告等；第四部分是验资与其他鉴证业务，包括验资、代编审计信息等。</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（9）《计算机会计》课程主要内容： 现代信息系统分析和设计的理论和方法，从立足会计核算、面向会计管理的角度出发，介绍各子系统的分析和设计方法以及一定量的应用设计内容。</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（10）《会计制度设计》课程主要内容： 会计制度与会计制度设计概念、会计制度设计的意义；内部会计控制、会计制度及会计制度设计之间的关系；会计制度设计的基本内容、会计制度设计方法及其运用。</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（11）《会计报表分析》课程主要内容： 以会计报表及其他相关资料为依据，采用一系列专门的分析技术和方法，对企业等经济组织过去和现在有关筹资活动、投资活动、经营活动、分配活动的盈利能力、营运能力、偿债能力和增长能力状况等进行分析与评价，为企业的投资者、债权人、经营者及其他关心企业的组织或个人了解企业过去、评价企业现状、预测企业未来，做出正确决策提供准确的信息和依据。</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（12）《金融企业会计》课程主要内容： 会计在金融企业整体工作中的地位、作用以及承担的任务，金融企业会计工作内容以及核算的基本理论、基础知识和基本技能，金融企业会计的基本理论、基本核算方法和各项业务处理方法。</w:t>
      </w:r>
    </w:p>
    <w:p>
      <w:pPr>
        <w:keepNext w:val="0"/>
        <w:keepLines w:val="0"/>
        <w:pageBreakBefore w:val="0"/>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（二）学位课程</w:t>
      </w:r>
    </w:p>
    <w:p>
      <w:pPr>
        <w:keepNext w:val="0"/>
        <w:keepLines w:val="0"/>
        <w:pageBreakBefore w:val="0"/>
        <w:widowControl/>
        <w:kinsoku/>
        <w:wordWrap/>
        <w:overflowPunct/>
        <w:topLinePunct w:val="0"/>
        <w:autoSpaceDE/>
        <w:autoSpaceDN/>
        <w:bidi w:val="0"/>
        <w:adjustRightInd/>
        <w:snapToGrid/>
        <w:spacing w:beforeAutospacing="0" w:afterAutospacing="0" w:line="276" w:lineRule="auto"/>
        <w:ind w:left="0" w:leftChars="0" w:right="0" w:rightChars="0" w:firstLine="420" w:firstLineChars="200"/>
        <w:jc w:val="both"/>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《中级财务会计》、《财务管理》、《高级财务会计》。</w:t>
      </w:r>
    </w:p>
    <w:p>
      <w:pPr>
        <w:pStyle w:val="4"/>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附表（二）毕业基本要求实现矩阵</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55"/>
        <w:gridCol w:w="2990"/>
        <w:gridCol w:w="493"/>
        <w:gridCol w:w="512"/>
        <w:gridCol w:w="522"/>
        <w:gridCol w:w="512"/>
        <w:gridCol w:w="563"/>
        <w:gridCol w:w="449"/>
        <w:gridCol w:w="553"/>
        <w:gridCol w:w="491"/>
        <w:gridCol w:w="522"/>
        <w:gridCol w:w="521"/>
        <w:gridCol w:w="388"/>
      </w:tblGrid>
      <w:tr>
        <w:trPr>
          <w:trHeight w:val="397" w:hRule="atLeast"/>
          <w:jc w:val="center"/>
        </w:trPr>
        <w:tc>
          <w:tcPr>
            <w:tcW w:w="55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课程类型</w:t>
            </w:r>
          </w:p>
        </w:tc>
        <w:tc>
          <w:tcPr>
            <w:tcW w:w="299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 程 名 称</w:t>
            </w:r>
          </w:p>
        </w:tc>
        <w:tc>
          <w:tcPr>
            <w:tcW w:w="5526" w:type="dxa"/>
            <w:gridSpan w:val="11"/>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毕业基本要求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2</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3</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4</w:t>
            </w: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5</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6</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7</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8</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9</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10</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公共</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必修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w:t>
            </w: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马克思主义基本原理概论</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中国近现代史纲要</w:t>
            </w:r>
          </w:p>
        </w:tc>
        <w:tc>
          <w:tcPr>
            <w:tcW w:w="4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形势与政策</w:t>
            </w:r>
          </w:p>
        </w:tc>
        <w:tc>
          <w:tcPr>
            <w:tcW w:w="4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网络教育学习导论</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线性代数与概率统计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大学英语</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专业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必修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课</w:t>
            </w: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中级财务会计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税法</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管理信息系统</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高级财务会计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国际会计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财务管理</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成本会计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审计学</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计算机会计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会计制度设计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会计报表分析</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金融企业会计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专业选修课</w:t>
            </w: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情商管理与沟通</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资产评估学</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证券投资学</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跨国公司财务管理</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创业融资</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实践性环节</w:t>
            </w: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中级财务会计课程设计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计算机会计课程设计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成本会计课程设计</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企业税务与决策实训</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4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毕业实习</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55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14:textFill>
                  <w14:solidFill>
                    <w14:schemeClr w14:val="tx1"/>
                  </w14:solidFill>
                </w14:textFill>
              </w:rPr>
            </w:pPr>
          </w:p>
        </w:tc>
        <w:tc>
          <w:tcPr>
            <w:tcW w:w="299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毕业设计（论文）</w:t>
            </w:r>
          </w:p>
        </w:tc>
        <w:tc>
          <w:tcPr>
            <w:tcW w:w="49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6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4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5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4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52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c>
          <w:tcPr>
            <w:tcW w:w="38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bl>
    <w:p>
      <w:pPr>
        <w:pStyle w:val="3"/>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三、课程教学进程表</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00"/>
        <w:gridCol w:w="402"/>
        <w:gridCol w:w="2689"/>
        <w:gridCol w:w="491"/>
        <w:gridCol w:w="664"/>
        <w:gridCol w:w="693"/>
        <w:gridCol w:w="621"/>
        <w:gridCol w:w="637"/>
        <w:gridCol w:w="590"/>
        <w:gridCol w:w="597"/>
        <w:gridCol w:w="544"/>
        <w:gridCol w:w="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1" w:hRule="atLeast"/>
          <w:jc w:val="center"/>
        </w:trPr>
        <w:tc>
          <w:tcPr>
            <w:tcW w:w="802" w:type="dxa"/>
            <w:gridSpan w:val="2"/>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268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课程名称</w:t>
            </w:r>
          </w:p>
        </w:tc>
        <w:tc>
          <w:tcPr>
            <w:tcW w:w="491"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分</w:t>
            </w:r>
          </w:p>
        </w:tc>
        <w:tc>
          <w:tcPr>
            <w:tcW w:w="664"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时</w:t>
            </w:r>
          </w:p>
        </w:tc>
        <w:tc>
          <w:tcPr>
            <w:tcW w:w="69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考核</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方式</w:t>
            </w:r>
          </w:p>
        </w:tc>
        <w:tc>
          <w:tcPr>
            <w:tcW w:w="2989"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学期分配</w:t>
            </w: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备注</w:t>
            </w:r>
          </w:p>
        </w:tc>
      </w:tr>
      <w:tr>
        <w:trPr>
          <w:cantSplit/>
          <w:trHeight w:val="351" w:hRule="atLeast"/>
          <w:jc w:val="center"/>
        </w:trPr>
        <w:tc>
          <w:tcPr>
            <w:tcW w:w="802" w:type="dxa"/>
            <w:gridSpan w:val="2"/>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9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66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69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三</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四</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五</w:t>
            </w:r>
          </w:p>
        </w:tc>
        <w:tc>
          <w:tcPr>
            <w:tcW w:w="74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r>
      <w:tr>
        <w:trPr>
          <w:cantSplit/>
          <w:trHeight w:val="351" w:hRule="atLeast"/>
          <w:jc w:val="center"/>
        </w:trPr>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必</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程</w:t>
            </w:r>
          </w:p>
        </w:tc>
        <w:tc>
          <w:tcPr>
            <w:tcW w:w="40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公</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共</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马克思主义基本原理概论</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中国近现代史纲要</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形势与政策</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每学期修读0.5学分</w:t>
            </w: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网络教育学习导论</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线性代数与概率统计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大学英语2</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大学英语3</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计算机应用基础</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专</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业</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中级财务会计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税法</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管理信息系统</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高级财务会计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国际会计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财务管理</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成本会计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审计学</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计算机会计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会计制度设计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会计报表分析</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64</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金融企业会计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选</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课</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程</w:t>
            </w:r>
          </w:p>
        </w:tc>
        <w:tc>
          <w:tcPr>
            <w:tcW w:w="40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专业选修课</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情商管理与沟通</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至少修读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8学分</w:t>
            </w: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资产评估学</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48</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证券投资学</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跨国公司财务管理</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创业融资</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32</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考试*</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实</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践性</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节</w:t>
            </w:r>
          </w:p>
        </w:tc>
        <w:tc>
          <w:tcPr>
            <w:tcW w:w="4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中级财务会计课程设计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1周</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计算机会计课程设计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1周</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成本会计课程设计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2周</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企业税务与决策实训</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1周</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思想政治理论课实践教学</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周</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毕业实习</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3周</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40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40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268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毕业设计（论文）</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6</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8周</w:t>
            </w: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考查</w:t>
            </w: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r>
        <w:trPr>
          <w:cantSplit/>
          <w:trHeight w:val="351" w:hRule="atLeast"/>
          <w:jc w:val="center"/>
        </w:trPr>
        <w:tc>
          <w:tcPr>
            <w:tcW w:w="3491"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总    计</w:t>
            </w:r>
          </w:p>
        </w:tc>
        <w:tc>
          <w:tcPr>
            <w:tcW w:w="4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w:t>
            </w: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66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16.5</w:t>
            </w:r>
          </w:p>
        </w:tc>
        <w:tc>
          <w:tcPr>
            <w:tcW w:w="6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22.5</w:t>
            </w:r>
          </w:p>
        </w:tc>
        <w:tc>
          <w:tcPr>
            <w:tcW w:w="59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23.5</w:t>
            </w:r>
          </w:p>
        </w:tc>
        <w:tc>
          <w:tcPr>
            <w:tcW w:w="5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r>
              <w:rPr>
                <w:rFonts w:hint="eastAsia" w:ascii="Times New Roman" w:hAnsi="Times New Roman"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4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w:t>
            </w:r>
          </w:p>
        </w:tc>
        <w:tc>
          <w:tcPr>
            <w:tcW w:w="74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r>
    </w:tbl>
    <w:p>
      <w:pPr>
        <w:pageBreakBefore w:val="0"/>
        <w:numPr>
          <w:ilvl w:val="0"/>
          <w:numId w:val="1"/>
        </w:numPr>
        <w:kinsoku/>
        <w:wordWrap/>
        <w:overflowPunct/>
        <w:topLinePunct w:val="0"/>
        <w:autoSpaceDE/>
        <w:autoSpaceDN/>
        <w:bidi w:val="0"/>
        <w:adjustRightInd/>
        <w:snapToGrid/>
        <w:spacing w:before="160" w:beforeAutospacing="0" w:after="160" w:afterAutospacing="0" w:line="240" w:lineRule="auto"/>
        <w:ind w:left="0" w:leftChars="0" w:right="0" w:rightChars="0" w:firstLine="480" w:firstLineChars="200"/>
        <w:jc w:val="both"/>
        <w:rPr>
          <w:rFonts w:hint="eastAsia" w:ascii="Times New Roman" w:hAnsi="Times New Roman" w:eastAsia="黑体" w:cs="Times New Roman"/>
          <w:b w:val="0"/>
          <w:bCs/>
          <w:i w:val="0"/>
          <w:color w:val="000000" w:themeColor="text1"/>
          <w:sz w:val="24"/>
          <w:szCs w:val="21"/>
          <w:lang w:eastAsia="zh-CN"/>
          <w14:textFill>
            <w14:solidFill>
              <w14:schemeClr w14:val="tx1"/>
            </w14:solidFill>
          </w14:textFill>
        </w:rPr>
      </w:pPr>
      <w:r>
        <w:rPr>
          <w:rFonts w:hint="eastAsia" w:ascii="Times New Roman" w:hAnsi="Times New Roman" w:eastAsia="黑体" w:cs="Times New Roman"/>
          <w:b w:val="0"/>
          <w:bCs/>
          <w:i w:val="0"/>
          <w:color w:val="000000" w:themeColor="text1"/>
          <w:sz w:val="24"/>
          <w:szCs w:val="21"/>
          <w:lang w:eastAsia="zh-CN"/>
          <w14:textFill>
            <w14:solidFill>
              <w14:schemeClr w14:val="tx1"/>
            </w14:solidFill>
          </w14:textFill>
        </w:rPr>
        <w:t>修读说明</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12" w:lineRule="auto"/>
        <w:ind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（1）最低毕业总学分：9</w:t>
      </w:r>
      <w:r>
        <w:rPr>
          <w:rFonts w:hint="eastAsia"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14:textFill>
            <w14:solidFill>
              <w14:schemeClr w14:val="tx1"/>
            </w14:solidFill>
          </w14:textFill>
        </w:rPr>
        <w:t>学分。</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课程考核由学习过程评价与期末考试组成，课程总评成绩=平时成绩☓40%+期末考试成绩☓60%。考核方式为“考试”的课程，期末考试一般以闭卷形式为主；考核方式为“考试*”的课程，期末考试一般以开卷形式为主；考核方式为“考查”课程，一般以实验报告、实习报告、课程设计、小论文、大作业、毕业设计等形式完成。</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（3）集中面授学时占该课程总学时的10%-15%。</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（4）网络教育学生除完成学校规定的最低毕业学分以外，还须参加网络教育部分公共基础课程全国统一考试(大学英语、计算机应用基础等课程),成绩合格，方能毕业。</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宋体-简"/>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黑体-简"/>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方正小标宋_GBK">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C204B"/>
    <w:multiLevelType w:val="singleLevel"/>
    <w:tmpl w:val="BD3C204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8DCA6"/>
    <w:rsid w:val="3258D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方正小标宋_GBK"/>
      <w:sz w:val="36"/>
    </w:rPr>
  </w:style>
  <w:style w:type="paragraph" w:styleId="3">
    <w:name w:val="heading 3"/>
    <w:basedOn w:val="1"/>
    <w:next w:val="1"/>
    <w:unhideWhenUsed/>
    <w:qFormat/>
    <w:uiPriority w:val="9"/>
    <w:pPr>
      <w:keepNext/>
      <w:keepLines/>
      <w:spacing w:before="160" w:beforeLines="0" w:beforeAutospacing="0" w:after="160" w:afterLines="0" w:afterAutospacing="0" w:line="240" w:lineRule="auto"/>
      <w:ind w:firstLine="1040" w:firstLineChars="200"/>
      <w:outlineLvl w:val="2"/>
    </w:pPr>
    <w:rPr>
      <w:rFonts w:eastAsia="黑体"/>
      <w:sz w:val="24"/>
    </w:rPr>
  </w:style>
  <w:style w:type="paragraph" w:styleId="4">
    <w:name w:val="heading 4"/>
    <w:basedOn w:val="1"/>
    <w:next w:val="1"/>
    <w:unhideWhenUsed/>
    <w:qFormat/>
    <w:uiPriority w:val="9"/>
    <w:pPr>
      <w:keepNext/>
      <w:keepLines/>
      <w:spacing w:before="160" w:beforeLines="0" w:beforeAutospacing="0" w:after="160" w:afterLines="0" w:afterAutospacing="0" w:line="240" w:lineRule="auto"/>
      <w:ind w:firstLine="1040" w:firstLineChars="200"/>
      <w:jc w:val="left"/>
      <w:outlineLvl w:val="3"/>
    </w:pPr>
    <w:rPr>
      <w:rFonts w:ascii="Arial" w:hAnsi="Arial" w:eastAsia="黑体"/>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unhideWhenUsed/>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2022-01-18T17:59:00Z</dcterms:created>
  <dc:creator>彩虹过后</dc:creator>
  <cp:lastModifiedBy>彩虹过后</cp:lastModifiedBy>
  <dcterms:modified xsi:type="dcterms:W3CDTF">2022-01-18T17:59:45Z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